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rPr>
          <w:rFonts w:hint="eastAsia"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2020年4月主题团日活动总结表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252"/>
        <w:gridCol w:w="1358"/>
        <w:gridCol w:w="1895"/>
        <w:gridCol w:w="1075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团支部全称</w:t>
            </w:r>
          </w:p>
        </w:tc>
        <w:tc>
          <w:tcPr>
            <w:tcW w:w="3975" w:type="pct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团支书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主题团日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4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简要概述活动，不超过300字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3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活动总结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（可另附材料）详细记录主题团日活动的背景意义、组织实施过程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楷体_GB2312" w:eastAsia="楷体_GB2312"/>
                <w:sz w:val="28"/>
                <w:szCs w:val="28"/>
              </w:rPr>
              <w:t>成效等。如制作了微视频、诗歌、漫画等文化产品请一并报送。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560" w:lineRule="exact"/>
        <w:rPr>
          <w:rFonts w:hint="eastAsia" w:ascii="仿宋_GB2312" w:hAnsi="等线" w:eastAsia="仿宋_GB2312" w:cs="宋体"/>
          <w:color w:val="000000"/>
          <w:kern w:val="0"/>
          <w:sz w:val="32"/>
          <w:szCs w:val="32"/>
          <w:lang w:val="zh-CN" w:bidi="zh-CN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C3D72"/>
    <w:rsid w:val="7F8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2020-04-13T05:41:29Z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